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8101D" w14:textId="77777777" w:rsidR="00DE3E06" w:rsidRPr="009401C2" w:rsidRDefault="00DE3E06" w:rsidP="00DE3E06">
      <w:pPr>
        <w:widowControl/>
        <w:textAlignment w:val="auto"/>
        <w:rPr>
          <w:rFonts w:hint="default"/>
          <w:color w:val="000000" w:themeColor="text1"/>
          <w:sz w:val="24"/>
          <w:szCs w:val="24"/>
        </w:rPr>
      </w:pPr>
      <w:r w:rsidRPr="009401C2">
        <w:rPr>
          <w:color w:val="000000" w:themeColor="text1"/>
          <w:sz w:val="24"/>
          <w:szCs w:val="24"/>
        </w:rPr>
        <w:t>（別表２）</w:t>
      </w:r>
    </w:p>
    <w:p w14:paraId="19BEDB30" w14:textId="03FECE4C"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環境負荷低減事業活動の用に供する設備等の導入に関する事項</w:t>
      </w:r>
    </w:p>
    <w:p w14:paraId="49EB922F" w14:textId="77777777"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p>
    <w:p w14:paraId="6D53F56E" w14:textId="27E573CB" w:rsidR="00DE3E06" w:rsidRPr="009401C2" w:rsidRDefault="0085419C" w:rsidP="0085419C">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設備等を</w:t>
      </w:r>
      <w:r w:rsidR="00DE3E06" w:rsidRPr="009401C2">
        <w:rPr>
          <w:rFonts w:ascii="ＭＳ 明朝" w:hAnsi="ＭＳ 明朝" w:hint="eastAsia"/>
          <w:color w:val="000000" w:themeColor="text1"/>
          <w:sz w:val="24"/>
          <w:szCs w:val="24"/>
          <w:u w:val="single"/>
        </w:rPr>
        <w:t xml:space="preserve">導入する者の氏名又は名称：　　　　　　　　　　　　　　</w:t>
      </w:r>
    </w:p>
    <w:p w14:paraId="48FB6D6E" w14:textId="77777777" w:rsidR="00DE3E06" w:rsidRPr="009401C2" w:rsidRDefault="00DE3E06" w:rsidP="00DE3E06">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0A1E129" w14:textId="697365FA" w:rsidR="00DE3E06" w:rsidRPr="009401C2" w:rsidRDefault="00DE3E06" w:rsidP="00DE3E06">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0D47D7AF" w14:textId="77777777" w:rsidR="00DE3E06" w:rsidRPr="009401C2" w:rsidRDefault="00DE3E06" w:rsidP="00DE3E06">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69587377" w14:textId="77777777" w:rsidTr="0078797F">
        <w:trPr>
          <w:trHeight w:val="632"/>
        </w:trPr>
        <w:tc>
          <w:tcPr>
            <w:tcW w:w="1384" w:type="dxa"/>
            <w:gridSpan w:val="2"/>
            <w:shd w:val="clear" w:color="auto" w:fill="auto"/>
            <w:vAlign w:val="center"/>
          </w:tcPr>
          <w:p w14:paraId="4D08D93D"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6782C80F"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1F41CB8E"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3A2AD3D6"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180D9D00"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D4CBDD3"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641B23AA"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340CB3"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67D7DDA1"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F5E68F1"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43ECCCA7"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6E73FA1B"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724EDD09"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6828C97"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A335169" w14:textId="77777777" w:rsidTr="0078797F">
        <w:trPr>
          <w:trHeight w:val="510"/>
        </w:trPr>
        <w:tc>
          <w:tcPr>
            <w:tcW w:w="817" w:type="dxa"/>
            <w:vMerge w:val="restart"/>
            <w:shd w:val="clear" w:color="auto" w:fill="auto"/>
            <w:vAlign w:val="center"/>
          </w:tcPr>
          <w:p w14:paraId="01528AAE"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69EDEA5"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7D04AF1"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CD7CD2C"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7DE71814"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593A44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12697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59642DF4"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7343C6EC"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7965A6FD" w14:textId="77777777" w:rsidTr="0078797F">
        <w:trPr>
          <w:trHeight w:val="510"/>
        </w:trPr>
        <w:tc>
          <w:tcPr>
            <w:tcW w:w="817" w:type="dxa"/>
            <w:vMerge/>
            <w:shd w:val="clear" w:color="auto" w:fill="auto"/>
          </w:tcPr>
          <w:p w14:paraId="6DC6DE6B"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014F8E55"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414163D"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1A6075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973759D"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73AAB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49697F3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6F42D638"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72210FBC"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1C71E8B9" w14:textId="77777777" w:rsidTr="0078797F">
        <w:trPr>
          <w:trHeight w:val="397"/>
        </w:trPr>
        <w:tc>
          <w:tcPr>
            <w:tcW w:w="817" w:type="dxa"/>
            <w:vMerge/>
            <w:shd w:val="clear" w:color="auto" w:fill="auto"/>
            <w:vAlign w:val="center"/>
          </w:tcPr>
          <w:p w14:paraId="4BC4365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41648563"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85DF72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DEE131"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46895D4D" w14:textId="77777777" w:rsidTr="0078797F">
        <w:trPr>
          <w:trHeight w:val="510"/>
        </w:trPr>
        <w:tc>
          <w:tcPr>
            <w:tcW w:w="817" w:type="dxa"/>
            <w:vMerge w:val="restart"/>
            <w:shd w:val="clear" w:color="auto" w:fill="auto"/>
            <w:vAlign w:val="center"/>
          </w:tcPr>
          <w:p w14:paraId="58F9C577"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01195248"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37644C9"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2B39A871"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5DFFB8B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365D164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2C4935"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3A013E8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5CC9D8A7"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72023E8C" w14:textId="77777777" w:rsidTr="0078797F">
        <w:trPr>
          <w:trHeight w:val="510"/>
        </w:trPr>
        <w:tc>
          <w:tcPr>
            <w:tcW w:w="817" w:type="dxa"/>
            <w:vMerge/>
            <w:shd w:val="clear" w:color="auto" w:fill="auto"/>
            <w:vAlign w:val="center"/>
          </w:tcPr>
          <w:p w14:paraId="1ECD3CA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429B7DF2"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23B931D"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2287B67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B6F175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7FE056D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5C6FC92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784913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43C4DA94"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38761D11" w14:textId="77777777" w:rsidTr="0078797F">
        <w:trPr>
          <w:trHeight w:val="397"/>
        </w:trPr>
        <w:tc>
          <w:tcPr>
            <w:tcW w:w="817" w:type="dxa"/>
            <w:vMerge/>
            <w:shd w:val="clear" w:color="auto" w:fill="auto"/>
            <w:vAlign w:val="center"/>
          </w:tcPr>
          <w:p w14:paraId="5B267872"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6DE7835B"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A72102"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AA39BE"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0A7EB04C" w14:textId="77777777" w:rsidTr="0078797F">
        <w:trPr>
          <w:trHeight w:val="510"/>
        </w:trPr>
        <w:tc>
          <w:tcPr>
            <w:tcW w:w="817" w:type="dxa"/>
            <w:vMerge w:val="restart"/>
            <w:shd w:val="clear" w:color="auto" w:fill="auto"/>
            <w:vAlign w:val="center"/>
          </w:tcPr>
          <w:p w14:paraId="2645F65C"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6508F173"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323B44D" w14:textId="77777777" w:rsidR="0085419C" w:rsidRPr="009401C2" w:rsidRDefault="0085419C"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BC8BA8D"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EA97F2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77EC88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5E02EC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46F3732"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69A56E20"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498DAB5A" w14:textId="77777777" w:rsidTr="0078797F">
        <w:trPr>
          <w:trHeight w:val="510"/>
        </w:trPr>
        <w:tc>
          <w:tcPr>
            <w:tcW w:w="817" w:type="dxa"/>
            <w:vMerge/>
            <w:shd w:val="clear" w:color="auto" w:fill="auto"/>
            <w:vAlign w:val="center"/>
          </w:tcPr>
          <w:p w14:paraId="393E11F3"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1D4375EA"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00F554B" w14:textId="77777777" w:rsidR="0085419C" w:rsidRPr="009401C2" w:rsidRDefault="0085419C"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747FC6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FABEE2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1DC91C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5D26FC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5177E0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314BF1F2"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5248DCEE" w14:textId="77777777" w:rsidTr="0078797F">
        <w:trPr>
          <w:trHeight w:val="397"/>
        </w:trPr>
        <w:tc>
          <w:tcPr>
            <w:tcW w:w="817" w:type="dxa"/>
            <w:vMerge/>
            <w:shd w:val="clear" w:color="auto" w:fill="auto"/>
            <w:vAlign w:val="center"/>
          </w:tcPr>
          <w:p w14:paraId="5AF37EC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4A526A89"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56CDDAF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2571838"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3496B0B8" w14:textId="77777777" w:rsidTr="0078797F">
        <w:trPr>
          <w:trHeight w:val="397"/>
        </w:trPr>
        <w:tc>
          <w:tcPr>
            <w:tcW w:w="7479" w:type="dxa"/>
            <w:gridSpan w:val="7"/>
            <w:shd w:val="clear" w:color="auto" w:fill="auto"/>
            <w:vAlign w:val="center"/>
          </w:tcPr>
          <w:p w14:paraId="50508654"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3C3E25A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7362E30" w14:textId="77777777" w:rsidR="0085419C" w:rsidRPr="009401C2" w:rsidRDefault="0085419C" w:rsidP="0078797F">
            <w:pPr>
              <w:overflowPunct w:val="0"/>
              <w:spacing w:line="284" w:lineRule="exact"/>
              <w:jc w:val="center"/>
              <w:rPr>
                <w:rFonts w:hint="default"/>
                <w:color w:val="000000" w:themeColor="text1"/>
                <w:sz w:val="18"/>
                <w:szCs w:val="18"/>
              </w:rPr>
            </w:pPr>
          </w:p>
        </w:tc>
      </w:tr>
    </w:tbl>
    <w:p w14:paraId="0C985639" w14:textId="77777777" w:rsidR="0085419C" w:rsidRPr="009401C2" w:rsidRDefault="0085419C" w:rsidP="0085419C">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4B307CC8" w14:textId="77777777" w:rsidR="0085419C" w:rsidRPr="009401C2" w:rsidRDefault="0085419C" w:rsidP="0085419C">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3254B65F" w14:textId="6BA8C013" w:rsidR="00624B24" w:rsidRPr="00F661B2" w:rsidRDefault="0085419C" w:rsidP="0085419C">
      <w:pPr>
        <w:pStyle w:val="af0"/>
        <w:adjustRightInd/>
        <w:spacing w:line="240" w:lineRule="exact"/>
        <w:ind w:leftChars="200" w:left="849" w:rightChars="102" w:right="224" w:hangingChars="195" w:hanging="409"/>
        <w:rPr>
          <w:rFonts w:ascii="ＭＳ 明朝" w:hAnsi="ＭＳ 明朝" w:cs="Times New Roman"/>
          <w:color w:val="auto"/>
        </w:rPr>
      </w:pPr>
      <w:r w:rsidRPr="009401C2">
        <w:rPr>
          <w:rFonts w:ascii="ＭＳ 明朝" w:hAnsi="ＭＳ 明朝" w:cs="Times New Roman" w:hint="eastAsia"/>
          <w:color w:val="000000" w:themeColor="text1"/>
        </w:rPr>
        <w:t xml:space="preserve">３　</w:t>
      </w:r>
      <w:bookmarkStart w:id="0" w:name="_GoBack"/>
      <w:r w:rsidR="00343892" w:rsidRPr="00F661B2">
        <w:rPr>
          <w:rFonts w:cs="Times New Roman"/>
          <w:color w:val="auto"/>
          <w:szCs w:val="22"/>
        </w:rPr>
        <w:t>みどり投資促進税制を活用する場合は、農林水産省のホームページに記載されている対象設備等の名称、型式等を記載すること。</w:t>
      </w:r>
    </w:p>
    <w:p w14:paraId="518398F6" w14:textId="52F911DA" w:rsidR="00624B24" w:rsidRPr="00F661B2" w:rsidRDefault="0085419C" w:rsidP="0085419C">
      <w:pPr>
        <w:pStyle w:val="af0"/>
        <w:adjustRightInd/>
        <w:spacing w:line="240" w:lineRule="exact"/>
        <w:ind w:leftChars="200" w:left="849" w:rightChars="102" w:right="224" w:hangingChars="195" w:hanging="409"/>
        <w:rPr>
          <w:rFonts w:ascii="ＭＳ 明朝" w:hAnsi="ＭＳ 明朝" w:cs="Times New Roman"/>
          <w:color w:val="auto"/>
        </w:rPr>
      </w:pPr>
      <w:r w:rsidRPr="00F661B2">
        <w:rPr>
          <w:rFonts w:ascii="ＭＳ 明朝" w:hAnsi="ＭＳ 明朝" w:cs="Times New Roman" w:hint="eastAsia"/>
          <w:color w:val="auto"/>
        </w:rPr>
        <w:t>４</w:t>
      </w:r>
      <w:r w:rsidR="00624B24" w:rsidRPr="00F661B2">
        <w:rPr>
          <w:rFonts w:ascii="ＭＳ 明朝" w:hAnsi="ＭＳ 明朝" w:cs="Times New Roman"/>
          <w:color w:val="auto"/>
        </w:rPr>
        <w:t xml:space="preserve">　みどり投資促進税制の対象となる機械等と一体的に整備する建物等がある場合は、「一体的</w:t>
      </w:r>
      <w:r w:rsidRPr="00F661B2">
        <w:rPr>
          <w:rFonts w:ascii="ＭＳ 明朝" w:hAnsi="ＭＳ 明朝" w:cs="Times New Roman" w:hint="eastAsia"/>
          <w:color w:val="auto"/>
        </w:rPr>
        <w:t>な</w:t>
      </w:r>
      <w:r w:rsidR="00624B24" w:rsidRPr="00F661B2">
        <w:rPr>
          <w:rFonts w:ascii="ＭＳ 明朝" w:hAnsi="ＭＳ 明朝" w:cs="Times New Roman"/>
          <w:color w:val="auto"/>
        </w:rPr>
        <w:t>設備等」の欄に、当該建物等と一体的に整備する機械等の番号を記入すること。</w:t>
      </w:r>
    </w:p>
    <w:p w14:paraId="5159620D" w14:textId="069E3E95" w:rsidR="00DE3E06" w:rsidRPr="00F661B2" w:rsidRDefault="0034001E" w:rsidP="0085419C">
      <w:pPr>
        <w:pStyle w:val="af0"/>
        <w:adjustRightInd/>
        <w:spacing w:line="240" w:lineRule="exact"/>
        <w:ind w:leftChars="200" w:left="650" w:rightChars="102" w:right="224" w:hangingChars="100" w:hanging="210"/>
        <w:rPr>
          <w:rFonts w:ascii="ＭＳ 明朝" w:hAnsi="ＭＳ 明朝" w:cs="Times New Roman"/>
          <w:color w:val="auto"/>
        </w:rPr>
      </w:pPr>
      <w:r w:rsidRPr="00F661B2">
        <w:rPr>
          <w:rFonts w:ascii="ＭＳ 明朝" w:hAnsi="ＭＳ 明朝" w:cs="Times New Roman" w:hint="eastAsia"/>
          <w:color w:val="auto"/>
        </w:rPr>
        <w:t>５</w:t>
      </w:r>
      <w:r w:rsidR="00DE3E06" w:rsidRPr="00F661B2">
        <w:rPr>
          <w:rFonts w:ascii="ＭＳ 明朝" w:hAnsi="ＭＳ 明朝" w:cs="Times New Roman" w:hint="eastAsia"/>
          <w:color w:val="auto"/>
        </w:rPr>
        <w:t xml:space="preserve">　</w:t>
      </w:r>
      <w:r w:rsidR="00DE3E06" w:rsidRPr="00F661B2">
        <w:rPr>
          <w:rFonts w:ascii="ＭＳ 明朝" w:cs="Times New Roman" w:hint="eastAsia"/>
          <w:color w:val="auto"/>
        </w:rPr>
        <w:t>「</w:t>
      </w:r>
      <w:r w:rsidR="00DE3E06" w:rsidRPr="00F661B2">
        <w:rPr>
          <w:rFonts w:ascii="ＭＳ 明朝" w:hAnsi="ＭＳ 明朝" w:cs="Times New Roman" w:hint="eastAsia"/>
          <w:color w:val="auto"/>
        </w:rPr>
        <w:t>特例措置」の欄には、</w:t>
      </w:r>
      <w:r w:rsidR="0085419C" w:rsidRPr="00F661B2">
        <w:rPr>
          <w:rFonts w:ascii="ＭＳ 明朝" w:hAnsi="ＭＳ 明朝" w:cs="Times New Roman" w:hint="eastAsia"/>
          <w:color w:val="auto"/>
        </w:rPr>
        <w:t>当該設備等の導入に当たって活用予定の特例措置に応じて、</w:t>
      </w:r>
      <w:r w:rsidR="00DE3E06" w:rsidRPr="00F661B2">
        <w:rPr>
          <w:rFonts w:ascii="ＭＳ 明朝" w:hAnsi="ＭＳ 明朝" w:cs="Times New Roman" w:hint="eastAsia"/>
          <w:color w:val="auto"/>
        </w:rPr>
        <w:t>下記の記号（ア～カ）を記載すること。</w:t>
      </w:r>
    </w:p>
    <w:p w14:paraId="6D13734C" w14:textId="571881AD"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ア：農業改良資金</w:t>
      </w:r>
    </w:p>
    <w:p w14:paraId="1E3B1E00" w14:textId="6233C002"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イ：林業・木材産業改善資金</w:t>
      </w:r>
    </w:p>
    <w:p w14:paraId="5CFAB559" w14:textId="308378EA"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ウ：沿岸漁業改善資金</w:t>
      </w:r>
    </w:p>
    <w:p w14:paraId="190BFEE3" w14:textId="306A4072"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エ：畜産経営環境調和推進資金</w:t>
      </w:r>
    </w:p>
    <w:p w14:paraId="7C3DFEFC" w14:textId="2FCEF20B"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オ：食品流通改善資金</w:t>
      </w:r>
    </w:p>
    <w:p w14:paraId="716C1669" w14:textId="26C34343" w:rsidR="00DE3E06" w:rsidRPr="00F661B2" w:rsidRDefault="00DE3E06" w:rsidP="0085419C">
      <w:pPr>
        <w:pStyle w:val="af0"/>
        <w:adjustRightInd/>
        <w:spacing w:line="240" w:lineRule="exact"/>
        <w:ind w:leftChars="200" w:left="440" w:rightChars="102" w:right="224" w:firstLineChars="102" w:firstLine="214"/>
        <w:rPr>
          <w:rFonts w:ascii="ＭＳ 明朝" w:hAnsi="ＭＳ 明朝" w:cs="Times New Roman"/>
          <w:color w:val="auto"/>
        </w:rPr>
      </w:pPr>
      <w:r w:rsidRPr="00F661B2">
        <w:rPr>
          <w:rFonts w:ascii="ＭＳ 明朝" w:hAnsi="ＭＳ 明朝" w:cs="Times New Roman" w:hint="eastAsia"/>
          <w:color w:val="auto"/>
        </w:rPr>
        <w:t>カ：みどり投資促進税制</w:t>
      </w:r>
    </w:p>
    <w:p w14:paraId="2B8B3E7D" w14:textId="2D051A3B" w:rsidR="00DE3E06" w:rsidRPr="00F661B2" w:rsidRDefault="0034001E" w:rsidP="0085419C">
      <w:pPr>
        <w:pStyle w:val="af0"/>
        <w:adjustRightInd/>
        <w:spacing w:line="240" w:lineRule="exact"/>
        <w:ind w:leftChars="200" w:left="650" w:rightChars="102" w:right="224" w:hangingChars="100" w:hanging="210"/>
        <w:rPr>
          <w:rFonts w:ascii="ＭＳ 明朝" w:hAnsi="ＭＳ 明朝" w:cs="Times New Roman"/>
          <w:color w:val="auto"/>
        </w:rPr>
      </w:pPr>
      <w:r w:rsidRPr="00F661B2">
        <w:rPr>
          <w:rFonts w:ascii="ＭＳ 明朝" w:hAnsi="ＭＳ 明朝" w:cs="Times New Roman" w:hint="eastAsia"/>
          <w:color w:val="auto"/>
        </w:rPr>
        <w:t>６</w:t>
      </w:r>
      <w:r w:rsidR="00DE3E06" w:rsidRPr="00F661B2">
        <w:rPr>
          <w:rFonts w:ascii="ＭＳ 明朝" w:hAnsi="ＭＳ 明朝" w:cs="Times New Roman" w:hint="eastAsia"/>
          <w:color w:val="auto"/>
        </w:rPr>
        <w:t xml:space="preserve">　</w:t>
      </w:r>
      <w:r w:rsidR="009D64BF" w:rsidRPr="00F661B2">
        <w:rPr>
          <w:rFonts w:ascii="ＭＳ 明朝" w:hAnsi="ＭＳ 明朝" w:cs="Times New Roman" w:hint="eastAsia"/>
          <w:color w:val="auto"/>
        </w:rPr>
        <w:t>施設</w:t>
      </w:r>
      <w:r w:rsidR="00DE3E06" w:rsidRPr="00F661B2">
        <w:rPr>
          <w:rFonts w:ascii="ＭＳ 明朝" w:hAnsi="ＭＳ 明朝" w:cs="Times New Roman" w:hint="eastAsia"/>
          <w:color w:val="auto"/>
        </w:rPr>
        <w:t>を整備する場合には、必要事項を別表３に記載の上、これを添付すること。</w:t>
      </w:r>
    </w:p>
    <w:p w14:paraId="7307360A" w14:textId="77777777" w:rsidR="00343892" w:rsidRPr="00F661B2" w:rsidRDefault="00343892" w:rsidP="00343892">
      <w:pPr>
        <w:pStyle w:val="af0"/>
        <w:adjustRightInd/>
        <w:spacing w:line="240" w:lineRule="exact"/>
        <w:ind w:leftChars="200" w:left="849" w:rightChars="102" w:right="224" w:hangingChars="195" w:hanging="409"/>
        <w:rPr>
          <w:rFonts w:ascii="ＭＳ 明朝" w:hAnsi="ＭＳ 明朝" w:cs="Times New Roman"/>
          <w:color w:val="auto"/>
        </w:rPr>
      </w:pPr>
      <w:r w:rsidRPr="00F661B2">
        <w:rPr>
          <w:rFonts w:ascii="ＭＳ 明朝" w:hAnsi="ＭＳ 明朝" w:cs="Times New Roman" w:hint="eastAsia"/>
          <w:color w:val="auto"/>
        </w:rPr>
        <w:t xml:space="preserve">７　</w:t>
      </w:r>
      <w:r w:rsidRPr="00F661B2">
        <w:rPr>
          <w:rFonts w:ascii="ＭＳ 明朝" w:hAnsi="ＭＳ 明朝" w:cs="Times New Roman"/>
          <w:color w:val="auto"/>
        </w:rPr>
        <w:t>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37CC272B" w14:textId="77777777" w:rsidR="00343892" w:rsidRPr="00F661B2" w:rsidRDefault="00343892" w:rsidP="0085419C">
      <w:pPr>
        <w:pStyle w:val="af0"/>
        <w:adjustRightInd/>
        <w:spacing w:line="240" w:lineRule="exact"/>
        <w:ind w:leftChars="200" w:left="650" w:rightChars="102" w:right="224" w:hangingChars="100" w:hanging="210"/>
        <w:rPr>
          <w:rFonts w:ascii="ＭＳ 明朝" w:hAnsi="ＭＳ 明朝" w:cs="Times New Roman"/>
          <w:color w:val="auto"/>
        </w:rPr>
      </w:pPr>
    </w:p>
    <w:bookmarkEnd w:id="0"/>
    <w:p w14:paraId="09B306F0" w14:textId="5FF09292" w:rsidR="00065F82" w:rsidRPr="00F661B2" w:rsidRDefault="00065F82" w:rsidP="00034A80">
      <w:pPr>
        <w:widowControl/>
        <w:spacing w:line="320" w:lineRule="exact"/>
        <w:textAlignment w:val="auto"/>
        <w:rPr>
          <w:rFonts w:hint="default"/>
          <w:color w:val="auto"/>
        </w:rPr>
      </w:pPr>
    </w:p>
    <w:sectPr w:rsidR="00065F82" w:rsidRPr="00F661B2" w:rsidSect="008268A8">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8785">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26827"/>
    <w:rsid w:val="00034A80"/>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43892"/>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661B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2025-05-02T08:13:00Z</dcterms:modified>
</cp:coreProperties>
</file>